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BC" w:rsidRPr="009919BC" w:rsidRDefault="009919BC" w:rsidP="009919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ÇHC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İTHALA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LİSANSI YÖNETİMİNE TABİ ÜRÜNLER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LİSTESİ (2026)</w:t>
      </w:r>
    </w:p>
    <w:p w:rsid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Çin Ticaret Bakanlığı ve Gümrük İdaresi tarafından ortaklaşa yayınlanan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30.12.2025 tarihli duyuru ile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İthalat </w:t>
      </w:r>
      <w:r w:rsidRPr="000E1E9F">
        <w:rPr>
          <w:rFonts w:ascii="Times New Roman" w:eastAsia="Times New Roman" w:hAnsi="Times New Roman" w:cs="Times New Roman"/>
          <w:sz w:val="24"/>
          <w:szCs w:val="24"/>
        </w:rPr>
        <w:t>Lisansı Yönetimi</w:t>
      </w:r>
      <w:r>
        <w:rPr>
          <w:rFonts w:ascii="Times New Roman" w:eastAsia="Times New Roman" w:hAnsi="Times New Roman" w:cs="Times New Roman"/>
          <w:sz w:val="24"/>
          <w:szCs w:val="24"/>
        </w:rPr>
        <w:t>ne Tabi Ürünler</w:t>
      </w:r>
      <w:r w:rsidRPr="000E1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1E9F">
        <w:rPr>
          <w:rFonts w:ascii="Times New Roman" w:eastAsia="Times New Roman" w:hAnsi="Times New Roman" w:cs="Times New Roman"/>
          <w:sz w:val="24"/>
          <w:szCs w:val="24"/>
        </w:rPr>
        <w:t>Kataloğu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"n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yayımlandığı ve 01.01.2026 tarihinden itibaren yürürlüğe gireceği belirtilmektedir. </w:t>
      </w:r>
    </w:p>
    <w:p w:rsid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Düzenlemenin orijinal Çince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versiyonu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eki kataloğa </w:t>
      </w:r>
      <w:hyperlink r:id="rId5" w:history="1">
        <w:r w:rsidRPr="00657FB9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https://www.mofcom.gov.cn/zcfb/dwmygl/art/2025/art_57f0ef6500994576bc94d8c389527c3a.html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linki üzerinden erişim sağlanabilmektedir.</w:t>
      </w:r>
    </w:p>
    <w:p w:rsidR="009919BC" w:rsidRPr="00542E9D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9BC" w:rsidRPr="00542E9D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Katalog’da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 xml:space="preserve">Çin'in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thalatta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lisans alınması mecburiyeti getirdiği ürünlere ilişkin </w:t>
      </w:r>
      <w:r w:rsidRPr="00542E9D">
        <w:rPr>
          <w:rFonts w:ascii="Times New Roman" w:eastAsia="Times New Roman" w:hAnsi="Times New Roman" w:cs="Times New Roman"/>
          <w:sz w:val="24"/>
          <w:szCs w:val="24"/>
        </w:rPr>
        <w:t>ayrıntılı bir liste</w:t>
      </w:r>
      <w:r>
        <w:rPr>
          <w:rFonts w:ascii="Times New Roman" w:eastAsia="Times New Roman" w:hAnsi="Times New Roman" w:cs="Times New Roman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yer verilmektedir. </w:t>
      </w:r>
    </w:p>
    <w:p w:rsid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9BC" w:rsidRP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Söz konusu listede kayıtlı bulunan ürünlerin Çin H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alk Cumhuriyeti'ne 2026 yılında ithal edilme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istenmesi halinde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ithalat lisansı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alınması zorunlu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dur. </w:t>
      </w:r>
    </w:p>
    <w:p w:rsidR="009919BC" w:rsidRPr="009919BC" w:rsidRDefault="009919BC" w:rsidP="009919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Ozon Tabakasını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İncelten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Maddeler  </w:t>
      </w:r>
    </w:p>
    <w:p w:rsidR="009919BC" w:rsidRP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sz w:val="24"/>
          <w:szCs w:val="24"/>
        </w:rPr>
        <w:t>Bu grupta, Montreal Protokolü kapsamında kontrol altına alınan ve ithalatı sıkı bir şekilde düzenlenen kimyasallar yer alır.</w:t>
      </w:r>
    </w:p>
    <w:p w:rsidR="009919BC" w:rsidRPr="009919BC" w:rsidRDefault="009919BC" w:rsidP="009919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Kimyasal Türleri: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Kloroflorokarbonlar (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CFC'ler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Örn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trichlorofluoromethane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(CFC-11),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dichlorodifluoromethane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(CFC-12).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Hidrokloroflorokarbonlar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HCFC'ler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Örn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dichlorotrifluoroethane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dichlorofluoroethane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Halons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Yangın söndürücü olarak kullanılan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bromlu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maddeler (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Örn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bromotrifluoromethane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Halon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1301).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Metil 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Bromid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Fümigant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olarak kullanılır.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Hidroflorokarbonlar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HFC'ler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Örn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trifluoromethane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(HFC-23),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pentafluoroethane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(HFC-125).</w:t>
      </w:r>
    </w:p>
    <w:p w:rsidR="009919BC" w:rsidRPr="009919BC" w:rsidRDefault="009919BC" w:rsidP="009919B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Cs/>
          <w:sz w:val="24"/>
          <w:szCs w:val="24"/>
        </w:rPr>
        <w:t>Bu maddeleri içeren karışımlar.</w:t>
      </w:r>
    </w:p>
    <w:p w:rsidR="009919BC" w:rsidRPr="009919BC" w:rsidRDefault="009919BC" w:rsidP="009919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Diğer Lisansa Tabi Ürün Grupları (2-14. Maddeler) </w:t>
      </w:r>
    </w:p>
    <w:p w:rsidR="009919BC" w:rsidRP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Belgede, 2 ila 14. sıralar arasında listelenen aşağıdaki ürün gruplarının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ikinci el makine ve teçhizat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(eski) olarak ithalatında ithalat lisansı gerekmektedir.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Kimya Tesisatları: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Damıtma </w:t>
      </w:r>
      <w:proofErr w:type="gramStart"/>
      <w:r w:rsidRPr="009919BC">
        <w:rPr>
          <w:rFonts w:ascii="Times New Roman" w:eastAsia="Times New Roman" w:hAnsi="Times New Roman" w:cs="Times New Roman"/>
          <w:sz w:val="24"/>
          <w:szCs w:val="24"/>
        </w:rPr>
        <w:t>ekipmanları</w:t>
      </w:r>
      <w:proofErr w:type="gram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sıvılaştırıcılar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Metal Döküm Teçhizatı: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Yüksek sıcaklık alaşımları için döküm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İnşaat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Vinçler (kule vinç, lastik tekerlekli vinç, paletli vinç),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forkliftler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>, asansörler.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Kaldırma ve Taşıma Ekipmanları: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Köprülü vinçler, konteyner köprüleri, istifleyiciler, teleferikler.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Kağıt</w:t>
      </w:r>
      <w:proofErr w:type="gram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Üretim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Selüloz hamuru yapma, kağıt kurutma ve kağıt işleme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Elektrikli Teçhizat: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Büyük alternatörler (750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kVA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üzeri), dizel jeneratör grupları, kaynak makineleri (lazer, elektron ışını, ark kaynağı).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Gıda İşleme ve Paketleme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Pişirme makineleri, filtreleme cihazları, dolum </w:t>
      </w:r>
      <w:proofErr w:type="gramStart"/>
      <w:r w:rsidRPr="009919BC">
        <w:rPr>
          <w:rFonts w:ascii="Times New Roman" w:eastAsia="Times New Roman" w:hAnsi="Times New Roman" w:cs="Times New Roman"/>
          <w:sz w:val="24"/>
          <w:szCs w:val="24"/>
        </w:rPr>
        <w:t>ekipmanları</w:t>
      </w:r>
      <w:proofErr w:type="gramEnd"/>
      <w:r w:rsidRPr="009919BC">
        <w:rPr>
          <w:rFonts w:ascii="Times New Roman" w:eastAsia="Times New Roman" w:hAnsi="Times New Roman" w:cs="Times New Roman"/>
          <w:sz w:val="24"/>
          <w:szCs w:val="24"/>
        </w:rPr>
        <w:t>, süt işleme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Tarım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Pirinç ekim makineleri, biçerdöverler (200 beygir gücü ve üzeri), patates/pancar/şekerkamışı/pamuk hasat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Baskı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Ciltleme makineleri, ofset,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flekso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ve tipografi baskı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Tekstil Makineleri: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Deri işleme ve tabaklama makineleri.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Gemiler: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Yolcu gemileri, feribotlar, tekne ve yatlar (8 metre üzeri).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Yazıcı Kartuşları: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​ Lazer yazıcı/kopyalama makineleri için baskı tamburları ve toner kartuşları.</w:t>
      </w:r>
    </w:p>
    <w:p w:rsidR="009919BC" w:rsidRPr="009919BC" w:rsidRDefault="009919BC" w:rsidP="009919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X-Işını Tüpleri.</w:t>
      </w:r>
    </w:p>
    <w:p w:rsidR="009919BC" w:rsidRPr="009919BC" w:rsidRDefault="009919BC" w:rsidP="009919B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Önemli Açıklamalar ve İstisnalar (Dipnotlar) </w:t>
      </w:r>
    </w:p>
    <w:p w:rsidR="009919BC" w:rsidRPr="009919BC" w:rsidRDefault="009919BC" w:rsidP="009919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Ozon Tabakasını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İncelten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Maddeler İstisnası: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Bu maddeler, nihai ürünlerin (örneğin, buzdolabı, klima, yangın söndürücü, köpük) içine </w:t>
      </w:r>
      <w:proofErr w:type="gramStart"/>
      <w:r w:rsidRPr="009919BC">
        <w:rPr>
          <w:rFonts w:ascii="Times New Roman" w:eastAsia="Times New Roman" w:hAnsi="Times New Roman" w:cs="Times New Roman"/>
          <w:sz w:val="24"/>
          <w:szCs w:val="24"/>
        </w:rPr>
        <w:t>entegre</w:t>
      </w:r>
      <w:proofErr w:type="gramEnd"/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edilmiş haldeyse lisans kapsamı dışındadır.</w:t>
      </w:r>
    </w:p>
    <w:p w:rsidR="009919BC" w:rsidRPr="009919BC" w:rsidRDefault="009919BC" w:rsidP="009919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Dahilde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İşleme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Rejimi</w:t>
      </w: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Trade</w:t>
      </w:r>
      <w:proofErr w:type="spellEnd"/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) İstisnası: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Ozon tabakasını </w:t>
      </w:r>
      <w:r>
        <w:rPr>
          <w:rFonts w:ascii="Times New Roman" w:eastAsia="Times New Roman" w:hAnsi="Times New Roman" w:cs="Times New Roman"/>
          <w:sz w:val="24"/>
          <w:szCs w:val="24"/>
        </w:rPr>
        <w:t>incelten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maddelerle yapılan işleme ticaretinde, üretim artıkları veya nihai ürünlerin iç piyasada satılması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>urumunda veya ekipmanın normal aşınması/yan ürün oluşması durumunda ithalat lisansına gerek yoktur.</w:t>
      </w:r>
    </w:p>
    <w:p w:rsidR="009919BC" w:rsidRPr="009919BC" w:rsidRDefault="009919BC" w:rsidP="009919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Numune, Hediye, İade: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Ozon tabakasını </w:t>
      </w:r>
      <w:r>
        <w:rPr>
          <w:rFonts w:ascii="Times New Roman" w:eastAsia="Times New Roman" w:hAnsi="Times New Roman" w:cs="Times New Roman"/>
          <w:sz w:val="24"/>
          <w:szCs w:val="24"/>
        </w:rPr>
        <w:t>incelten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 maddelerin numune, reklam malzemesi, bağış veya iade amaçlı ithalatında lisans gerekir.</w:t>
      </w:r>
    </w:p>
    <w:p w:rsidR="009919BC" w:rsidRPr="009919BC" w:rsidRDefault="009919BC" w:rsidP="009919B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9BC">
        <w:rPr>
          <w:rFonts w:ascii="Times New Roman" w:eastAsia="Times New Roman" w:hAnsi="Times New Roman" w:cs="Times New Roman"/>
          <w:b/>
          <w:bCs/>
          <w:sz w:val="24"/>
          <w:szCs w:val="24"/>
        </w:rPr>
        <w:t>Ürün Tanımı Önceliği: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Lisans zorunluluğunun kapsamı, malın adına göre belirlenir. Gümrük tarife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pozisyonu </w:t>
      </w:r>
      <w:r w:rsidRPr="009919BC">
        <w:rPr>
          <w:rFonts w:ascii="Times New Roman" w:eastAsia="Times New Roman" w:hAnsi="Times New Roman" w:cs="Times New Roman"/>
          <w:sz w:val="24"/>
          <w:szCs w:val="24"/>
        </w:rPr>
        <w:t xml:space="preserve">(HS </w:t>
      </w:r>
      <w:proofErr w:type="spellStart"/>
      <w:r w:rsidRPr="009919BC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spellEnd"/>
      <w:r w:rsidRPr="009919BC">
        <w:rPr>
          <w:rFonts w:ascii="Times New Roman" w:eastAsia="Times New Roman" w:hAnsi="Times New Roman" w:cs="Times New Roman"/>
          <w:sz w:val="24"/>
          <w:szCs w:val="24"/>
        </w:rPr>
        <w:t>) sadece referans amaçlıdır.</w:t>
      </w:r>
    </w:p>
    <w:p w:rsidR="009919BC" w:rsidRPr="009919BC" w:rsidRDefault="009919BC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9BC" w:rsidRPr="009919BC" w:rsidRDefault="00D44A17" w:rsidP="00991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Sonuç olarak;</w:t>
      </w:r>
      <w:r w:rsidR="009919BC" w:rsidRPr="009919BC">
        <w:rPr>
          <w:rFonts w:ascii="Times New Roman" w:eastAsia="Times New Roman" w:hAnsi="Times New Roman" w:cs="Times New Roman"/>
          <w:sz w:val="24"/>
          <w:szCs w:val="24"/>
        </w:rPr>
        <w:t xml:space="preserve">​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9919BC" w:rsidRPr="009919BC">
        <w:rPr>
          <w:rFonts w:ascii="Times New Roman" w:eastAsia="Times New Roman" w:hAnsi="Times New Roman" w:cs="Times New Roman"/>
          <w:sz w:val="24"/>
          <w:szCs w:val="24"/>
        </w:rPr>
        <w:t xml:space="preserve">u liste, Çin'in 2026 yılında çevre (özellikle ozon tabakası), enerji, güvenlik ve yerli sanayiyi koruma politikaları doğrultusunda ithalatı kontrollü </w:t>
      </w:r>
      <w:r>
        <w:rPr>
          <w:rFonts w:ascii="Times New Roman" w:eastAsia="Times New Roman" w:hAnsi="Times New Roman" w:cs="Times New Roman"/>
          <w:sz w:val="24"/>
          <w:szCs w:val="24"/>
        </w:rPr>
        <w:t>ürünleri</w:t>
      </w:r>
      <w:r w:rsidR="009919BC" w:rsidRPr="009919BC">
        <w:rPr>
          <w:rFonts w:ascii="Times New Roman" w:eastAsia="Times New Roman" w:hAnsi="Times New Roman" w:cs="Times New Roman"/>
          <w:sz w:val="24"/>
          <w:szCs w:val="24"/>
        </w:rPr>
        <w:t xml:space="preserve"> detaylandırmaktadır. İthalatçıların, listede yer alan ürünleri ithal etmeden önce ilgili makamlardan ithalat lisansı almaları gerekmektedir.</w:t>
      </w:r>
    </w:p>
    <w:p w:rsidR="009921E1" w:rsidRPr="009919BC" w:rsidRDefault="009921E1" w:rsidP="009919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21E1" w:rsidRPr="0099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3ECC"/>
    <w:multiLevelType w:val="multilevel"/>
    <w:tmpl w:val="C65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1043D"/>
    <w:multiLevelType w:val="multilevel"/>
    <w:tmpl w:val="A47A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21404"/>
    <w:multiLevelType w:val="multilevel"/>
    <w:tmpl w:val="3DA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BC"/>
    <w:rsid w:val="009919BC"/>
    <w:rsid w:val="009921E1"/>
    <w:rsid w:val="00D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0A91"/>
  <w15:chartTrackingRefBased/>
  <w15:docId w15:val="{1324555F-0358-4908-9CEA-D927CEC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1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991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919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9919B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9919BC"/>
    <w:rPr>
      <w:b/>
      <w:bCs/>
    </w:rPr>
  </w:style>
  <w:style w:type="character" w:styleId="Vurgu">
    <w:name w:val="Emphasis"/>
    <w:basedOn w:val="VarsaylanParagrafYazTipi"/>
    <w:uiPriority w:val="20"/>
    <w:qFormat/>
    <w:rsid w:val="009919BC"/>
    <w:rPr>
      <w:i/>
      <w:iCs/>
    </w:rPr>
  </w:style>
  <w:style w:type="character" w:styleId="Kpr">
    <w:name w:val="Hyperlink"/>
    <w:basedOn w:val="VarsaylanParagrafYazTipi"/>
    <w:uiPriority w:val="99"/>
    <w:unhideWhenUsed/>
    <w:rsid w:val="00991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fcom.gov.cn/zcfb/dwmygl/art/2025/art_57f0ef6500994576bc94d8c389527c3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2026-01-07T08:50:00Z</dcterms:created>
  <dcterms:modified xsi:type="dcterms:W3CDTF">2026-01-07T09:04:00Z</dcterms:modified>
</cp:coreProperties>
</file>